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C9998" w14:textId="77777777" w:rsidR="00D87CA9" w:rsidRPr="006D5DAD" w:rsidRDefault="00CD27D9" w:rsidP="006D5DAD">
      <w:pPr>
        <w:tabs>
          <w:tab w:val="right" w:pos="5897"/>
        </w:tabs>
        <w:spacing w:after="240" w:line="240" w:lineRule="auto"/>
        <w:ind w:right="-23"/>
        <w:jc w:val="both"/>
        <w:rPr>
          <w:rFonts w:ascii="Arial" w:eastAsia="Sansa Lloyds" w:hAnsi="Arial" w:cs="Arial"/>
          <w:b/>
          <w:bCs/>
          <w:color w:val="000000" w:themeColor="text1"/>
          <w:spacing w:val="-3"/>
          <w:kern w:val="0"/>
          <w:position w:val="-9"/>
          <w:sz w:val="40"/>
          <w:szCs w:val="40"/>
          <w:lang w:eastAsia="en-GB"/>
          <w14:ligatures w14:val="none"/>
        </w:rPr>
      </w:pPr>
      <w:r>
        <w:rPr>
          <w:rFonts w:ascii="Arial" w:eastAsia="Sansa Lloyds" w:hAnsi="Arial" w:cs="Arial"/>
          <w:b/>
          <w:bCs/>
          <w:color w:val="000000" w:themeColor="text1"/>
          <w:spacing w:val="-3"/>
          <w:kern w:val="0"/>
          <w:position w:val="-9"/>
          <w:sz w:val="40"/>
          <w:szCs w:val="40"/>
          <w:lang w:eastAsia="en-GB"/>
          <w14:ligatures w14:val="none"/>
        </w:rPr>
        <w:t>Independent Auditor</w:t>
      </w:r>
      <w:r w:rsidR="006B0F5A">
        <w:rPr>
          <w:rFonts w:ascii="Arial" w:eastAsia="Sansa Lloyds" w:hAnsi="Arial" w:cs="Arial"/>
          <w:b/>
          <w:bCs/>
          <w:color w:val="000000" w:themeColor="text1"/>
          <w:spacing w:val="-3"/>
          <w:kern w:val="0"/>
          <w:position w:val="-9"/>
          <w:sz w:val="40"/>
          <w:szCs w:val="40"/>
          <w:lang w:eastAsia="en-GB"/>
          <w14:ligatures w14:val="none"/>
        </w:rPr>
        <w:t>’</w:t>
      </w:r>
      <w:r>
        <w:rPr>
          <w:rFonts w:ascii="Arial" w:eastAsia="Sansa Lloyds" w:hAnsi="Arial" w:cs="Arial"/>
          <w:b/>
          <w:bCs/>
          <w:color w:val="000000" w:themeColor="text1"/>
          <w:spacing w:val="-3"/>
          <w:kern w:val="0"/>
          <w:position w:val="-9"/>
          <w:sz w:val="40"/>
          <w:szCs w:val="40"/>
          <w:lang w:eastAsia="en-GB"/>
          <w14:ligatures w14:val="none"/>
        </w:rPr>
        <w:t>s Report</w:t>
      </w:r>
      <w:r w:rsidR="00D87CA9" w:rsidRPr="006D5DAD">
        <w:rPr>
          <w:rFonts w:ascii="Arial" w:eastAsia="Sansa Lloyds" w:hAnsi="Arial" w:cs="Arial"/>
          <w:b/>
          <w:bCs/>
          <w:color w:val="000000" w:themeColor="text1"/>
          <w:spacing w:val="-3"/>
          <w:kern w:val="0"/>
          <w:position w:val="-9"/>
          <w:sz w:val="40"/>
          <w:szCs w:val="40"/>
          <w:lang w:eastAsia="en-GB"/>
          <w14:ligatures w14:val="none"/>
        </w:rPr>
        <w:t xml:space="preserve"> – Schedule 3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8"/>
      </w:tblGrid>
      <w:tr w:rsidR="00D87CA9" w:rsidRPr="006D5DAD" w14:paraId="697BD1B1" w14:textId="77777777" w:rsidTr="00D87CA9">
        <w:tc>
          <w:tcPr>
            <w:tcW w:w="3114" w:type="dxa"/>
          </w:tcPr>
          <w:p w14:paraId="671D29B1" w14:textId="77777777" w:rsidR="00D87CA9" w:rsidRPr="006D5DAD" w:rsidRDefault="00D87CA9" w:rsidP="00D87CA9">
            <w:pPr>
              <w:pStyle w:val="Bullet"/>
              <w:spacing w:before="120"/>
              <w:rPr>
                <w:rFonts w:cs="Arial"/>
                <w:color w:val="auto"/>
                <w:sz w:val="22"/>
              </w:rPr>
            </w:pPr>
            <w:r w:rsidRPr="006D5DAD">
              <w:rPr>
                <w:rFonts w:cs="Arial"/>
                <w:color w:val="auto"/>
                <w:sz w:val="22"/>
              </w:rPr>
              <w:t>Syndicate Number:</w:t>
            </w:r>
          </w:p>
        </w:tc>
        <w:tc>
          <w:tcPr>
            <w:tcW w:w="3118" w:type="dxa"/>
          </w:tcPr>
          <w:p w14:paraId="64D56475" w14:textId="77777777" w:rsidR="00D87CA9" w:rsidRPr="006D5DAD" w:rsidRDefault="00D87CA9" w:rsidP="00D87CA9">
            <w:pPr>
              <w:pStyle w:val="Bullet"/>
              <w:spacing w:before="120"/>
              <w:rPr>
                <w:rFonts w:cs="Arial"/>
                <w:color w:val="auto"/>
                <w:sz w:val="22"/>
              </w:rPr>
            </w:pPr>
            <w:r w:rsidRPr="006D5DAD">
              <w:rPr>
                <w:rFonts w:cs="Arial"/>
                <w:color w:val="auto"/>
                <w:sz w:val="22"/>
                <w:highlight w:val="lightGray"/>
              </w:rPr>
              <w:t>XXXX</w:t>
            </w:r>
          </w:p>
        </w:tc>
      </w:tr>
      <w:tr w:rsidR="00D87CA9" w:rsidRPr="006D5DAD" w14:paraId="2A62E555" w14:textId="77777777" w:rsidTr="00D87CA9">
        <w:tc>
          <w:tcPr>
            <w:tcW w:w="3114" w:type="dxa"/>
          </w:tcPr>
          <w:p w14:paraId="4E285070" w14:textId="77777777" w:rsidR="00D87CA9" w:rsidRPr="006D5DAD" w:rsidRDefault="00D87CA9" w:rsidP="00D87CA9">
            <w:pPr>
              <w:pStyle w:val="Bullet"/>
              <w:spacing w:before="120"/>
              <w:rPr>
                <w:rFonts w:cs="Arial"/>
                <w:color w:val="auto"/>
                <w:sz w:val="22"/>
              </w:rPr>
            </w:pPr>
            <w:r w:rsidRPr="006D5DAD">
              <w:rPr>
                <w:rFonts w:cs="Arial"/>
                <w:color w:val="auto"/>
                <w:sz w:val="22"/>
              </w:rPr>
              <w:t>Managing Agent Code:</w:t>
            </w:r>
          </w:p>
        </w:tc>
        <w:tc>
          <w:tcPr>
            <w:tcW w:w="3118" w:type="dxa"/>
          </w:tcPr>
          <w:p w14:paraId="7BA2AA0E" w14:textId="77777777" w:rsidR="00D87CA9" w:rsidRPr="006D5DAD" w:rsidRDefault="00D87CA9" w:rsidP="00D87CA9">
            <w:pPr>
              <w:pStyle w:val="Bullet"/>
              <w:spacing w:before="120"/>
              <w:rPr>
                <w:rFonts w:cs="Arial"/>
                <w:color w:val="auto"/>
                <w:sz w:val="22"/>
              </w:rPr>
            </w:pPr>
            <w:r w:rsidRPr="006D5DAD">
              <w:rPr>
                <w:rFonts w:cs="Arial"/>
                <w:color w:val="auto"/>
                <w:sz w:val="22"/>
                <w:highlight w:val="lightGray"/>
              </w:rPr>
              <w:t>XXXX</w:t>
            </w:r>
          </w:p>
        </w:tc>
      </w:tr>
      <w:tr w:rsidR="00D87CA9" w:rsidRPr="006D5DAD" w14:paraId="43A3B91B" w14:textId="77777777" w:rsidTr="00D87CA9">
        <w:tc>
          <w:tcPr>
            <w:tcW w:w="3114" w:type="dxa"/>
          </w:tcPr>
          <w:p w14:paraId="2F04A64D" w14:textId="77777777" w:rsidR="00D87CA9" w:rsidRPr="006D5DAD" w:rsidRDefault="00D87CA9" w:rsidP="00D87CA9">
            <w:pPr>
              <w:pStyle w:val="Bullet"/>
              <w:spacing w:before="120"/>
              <w:rPr>
                <w:rFonts w:cs="Arial"/>
                <w:color w:val="auto"/>
                <w:sz w:val="22"/>
              </w:rPr>
            </w:pPr>
            <w:r w:rsidRPr="006D5DAD">
              <w:rPr>
                <w:rFonts w:cs="Arial"/>
                <w:color w:val="auto"/>
                <w:sz w:val="22"/>
              </w:rPr>
              <w:t>Year ended:</w:t>
            </w:r>
          </w:p>
        </w:tc>
        <w:tc>
          <w:tcPr>
            <w:tcW w:w="3118" w:type="dxa"/>
          </w:tcPr>
          <w:p w14:paraId="606CA931" w14:textId="77777777" w:rsidR="00D87CA9" w:rsidRPr="006D5DAD" w:rsidRDefault="00D87CA9" w:rsidP="00D87CA9">
            <w:pPr>
              <w:pStyle w:val="Bullet"/>
              <w:spacing w:before="120"/>
              <w:rPr>
                <w:rFonts w:cs="Arial"/>
                <w:color w:val="auto"/>
                <w:sz w:val="22"/>
              </w:rPr>
            </w:pPr>
            <w:r w:rsidRPr="006D5DAD">
              <w:rPr>
                <w:rFonts w:cs="Arial"/>
                <w:color w:val="auto"/>
                <w:sz w:val="22"/>
              </w:rPr>
              <w:t>31 December 20</w:t>
            </w:r>
            <w:r w:rsidRPr="006D5DAD">
              <w:rPr>
                <w:rFonts w:cs="Arial"/>
                <w:color w:val="auto"/>
                <w:sz w:val="22"/>
                <w:highlight w:val="lightGray"/>
              </w:rPr>
              <w:t>XX</w:t>
            </w:r>
          </w:p>
        </w:tc>
      </w:tr>
    </w:tbl>
    <w:p w14:paraId="7B0127C2" w14:textId="77777777" w:rsidR="00D87CA9" w:rsidRPr="006D5DAD" w:rsidRDefault="00000000" w:rsidP="00D87CA9">
      <w:pPr>
        <w:rPr>
          <w:rFonts w:ascii="Arial" w:hAnsi="Arial" w:cs="Arial"/>
        </w:rPr>
      </w:pPr>
      <w:r>
        <w:rPr>
          <w:rFonts w:ascii="Arial" w:hAnsi="Arial" w:cs="Arial"/>
        </w:rPr>
        <w:pict w14:anchorId="02AE7FEB">
          <v:rect id="_x0000_i1025" style="width:0;height:1.5pt" o:hralign="center" o:hrstd="t" o:hr="t" fillcolor="#a0a0a0" stroked="f"/>
        </w:pict>
      </w:r>
    </w:p>
    <w:p w14:paraId="765F2D57" w14:textId="77777777" w:rsidR="006D5DAD" w:rsidRDefault="00AC717D" w:rsidP="00154B2D">
      <w:pPr>
        <w:pStyle w:val="TableText"/>
        <w:tabs>
          <w:tab w:val="left" w:pos="2790"/>
        </w:tabs>
        <w:spacing w:before="240" w:after="120"/>
        <w:jc w:val="both"/>
        <w:rPr>
          <w:rFonts w:cs="Arial"/>
          <w:b/>
          <w:bCs/>
          <w:sz w:val="22"/>
          <w:szCs w:val="22"/>
        </w:rPr>
      </w:pPr>
      <w:r w:rsidRPr="00AC717D">
        <w:rPr>
          <w:rFonts w:cs="Arial"/>
          <w:b/>
          <w:bCs/>
          <w:sz w:val="22"/>
          <w:szCs w:val="22"/>
        </w:rPr>
        <w:t>Independent auditors’ report to the syndicate’s corporate members and their auditors</w:t>
      </w:r>
    </w:p>
    <w:p w14:paraId="3C5B6A27" w14:textId="77777777" w:rsidR="00A07C5B" w:rsidRDefault="00A07C5B" w:rsidP="00154B2D">
      <w:pPr>
        <w:pStyle w:val="TableText"/>
        <w:tabs>
          <w:tab w:val="left" w:pos="2790"/>
        </w:tabs>
        <w:spacing w:after="120"/>
        <w:jc w:val="both"/>
        <w:rPr>
          <w:rFonts w:cs="Arial"/>
          <w:b/>
          <w:bCs/>
          <w:sz w:val="22"/>
          <w:szCs w:val="22"/>
        </w:rPr>
      </w:pPr>
    </w:p>
    <w:p w14:paraId="1A042446" w14:textId="77777777" w:rsidR="00A07C5B" w:rsidRPr="00A07C5B" w:rsidRDefault="00A07C5B" w:rsidP="00154B2D">
      <w:pPr>
        <w:pStyle w:val="TableText"/>
        <w:tabs>
          <w:tab w:val="left" w:pos="2790"/>
        </w:tabs>
        <w:spacing w:before="240" w:after="120"/>
        <w:jc w:val="both"/>
        <w:rPr>
          <w:rFonts w:cs="Arial"/>
          <w:b/>
          <w:bCs/>
          <w:sz w:val="22"/>
          <w:szCs w:val="22"/>
        </w:rPr>
      </w:pPr>
      <w:r w:rsidRPr="00A07C5B">
        <w:rPr>
          <w:rFonts w:cs="Arial"/>
          <w:b/>
          <w:bCs/>
          <w:sz w:val="22"/>
          <w:szCs w:val="22"/>
        </w:rPr>
        <w:t>Opinion</w:t>
      </w:r>
    </w:p>
    <w:p w14:paraId="2BF05D8F" w14:textId="77777777" w:rsidR="00A07C5B" w:rsidRPr="00A07C5B" w:rsidRDefault="00A07C5B" w:rsidP="00154B2D">
      <w:pPr>
        <w:jc w:val="both"/>
        <w:rPr>
          <w:rFonts w:ascii="Arial" w:hAnsi="Arial" w:cs="Arial"/>
        </w:rPr>
      </w:pPr>
      <w:r w:rsidRPr="00A07C5B">
        <w:rPr>
          <w:rFonts w:ascii="Arial" w:hAnsi="Arial" w:cs="Arial"/>
        </w:rPr>
        <w:t xml:space="preserve">We have audited the Schedule 3 data of Syndicate </w:t>
      </w:r>
      <w:r w:rsidRPr="006D5DAD">
        <w:rPr>
          <w:rFonts w:ascii="Arial" w:hAnsi="Arial" w:cs="Arial"/>
          <w:highlight w:val="lightGray"/>
        </w:rPr>
        <w:t>XXXX</w:t>
      </w:r>
      <w:r w:rsidRPr="00A07C5B">
        <w:rPr>
          <w:rFonts w:ascii="Arial" w:hAnsi="Arial" w:cs="Arial"/>
        </w:rPr>
        <w:t xml:space="preserve"> (the Syndicate) for the year ended 31 December 20</w:t>
      </w:r>
      <w:r w:rsidRPr="006D5DAD">
        <w:rPr>
          <w:rFonts w:ascii="Arial" w:hAnsi="Arial" w:cs="Arial"/>
          <w:highlight w:val="lightGray"/>
        </w:rPr>
        <w:t>XX</w:t>
      </w:r>
      <w:r w:rsidRPr="00A07C5B">
        <w:rPr>
          <w:rFonts w:ascii="Arial" w:hAnsi="Arial" w:cs="Arial"/>
        </w:rPr>
        <w:t xml:space="preserve">. The Schedule 3 data is defined in the </w:t>
      </w:r>
      <w:r>
        <w:rPr>
          <w:rFonts w:ascii="Arial" w:hAnsi="Arial" w:cs="Arial"/>
        </w:rPr>
        <w:t xml:space="preserve">Schedule 3 </w:t>
      </w:r>
      <w:r w:rsidR="002B556F">
        <w:rPr>
          <w:rFonts w:ascii="Arial" w:hAnsi="Arial" w:cs="Arial"/>
        </w:rPr>
        <w:t xml:space="preserve">Instructions </w:t>
      </w:r>
      <w:r w:rsidR="002B556F" w:rsidRPr="006D5DAD">
        <w:rPr>
          <w:rFonts w:ascii="Arial" w:hAnsi="Arial" w:cs="Arial"/>
        </w:rPr>
        <w:t xml:space="preserve">referred to in Lloyd’s market bulletin </w:t>
      </w:r>
      <w:r w:rsidR="002B556F" w:rsidRPr="006D5DAD">
        <w:rPr>
          <w:rFonts w:ascii="Arial" w:hAnsi="Arial" w:cs="Arial"/>
          <w:highlight w:val="lightGray"/>
        </w:rPr>
        <w:t>YXXXX</w:t>
      </w:r>
      <w:r w:rsidR="002B556F" w:rsidRPr="006D5DAD">
        <w:rPr>
          <w:rFonts w:ascii="Arial" w:hAnsi="Arial" w:cs="Arial"/>
        </w:rPr>
        <w:t xml:space="preserve"> dated </w:t>
      </w:r>
      <w:r w:rsidR="002B556F" w:rsidRPr="006D5DAD">
        <w:rPr>
          <w:rFonts w:ascii="Arial" w:hAnsi="Arial" w:cs="Arial"/>
          <w:highlight w:val="lightGray"/>
        </w:rPr>
        <w:t>DD MMM YYYY</w:t>
      </w:r>
      <w:r w:rsidR="00E34F40" w:rsidRPr="00A07C5B">
        <w:rPr>
          <w:rFonts w:ascii="Arial" w:hAnsi="Arial" w:cs="Arial"/>
        </w:rPr>
        <w:t xml:space="preserve"> </w:t>
      </w:r>
      <w:r w:rsidR="00E34F40">
        <w:rPr>
          <w:rFonts w:ascii="Arial" w:hAnsi="Arial" w:cs="Arial"/>
        </w:rPr>
        <w:t>(</w:t>
      </w:r>
      <w:r w:rsidRPr="00A07C5B">
        <w:rPr>
          <w:rFonts w:ascii="Arial" w:hAnsi="Arial" w:cs="Arial"/>
        </w:rPr>
        <w:t xml:space="preserve">the </w:t>
      </w:r>
      <w:r w:rsidR="001A48D6">
        <w:rPr>
          <w:rFonts w:ascii="Arial" w:hAnsi="Arial" w:cs="Arial"/>
        </w:rPr>
        <w:t>‘</w:t>
      </w:r>
      <w:r w:rsidRPr="00A07C5B">
        <w:rPr>
          <w:rFonts w:ascii="Arial" w:hAnsi="Arial" w:cs="Arial"/>
        </w:rPr>
        <w:t>Instructions</w:t>
      </w:r>
      <w:r w:rsidR="001A48D6">
        <w:rPr>
          <w:rFonts w:ascii="Arial" w:hAnsi="Arial" w:cs="Arial"/>
        </w:rPr>
        <w:t>’</w:t>
      </w:r>
      <w:r w:rsidRPr="00A07C5B">
        <w:rPr>
          <w:rFonts w:ascii="Arial" w:hAnsi="Arial" w:cs="Arial"/>
        </w:rPr>
        <w:t>).</w:t>
      </w:r>
    </w:p>
    <w:p w14:paraId="3F41FF68" w14:textId="77777777" w:rsidR="00A07C5B" w:rsidRPr="00A07C5B" w:rsidRDefault="00A07C5B" w:rsidP="00154B2D">
      <w:pPr>
        <w:jc w:val="both"/>
        <w:rPr>
          <w:rFonts w:ascii="Arial" w:hAnsi="Arial" w:cs="Arial"/>
        </w:rPr>
      </w:pPr>
      <w:r w:rsidRPr="00A07C5B">
        <w:rPr>
          <w:rFonts w:ascii="Arial" w:hAnsi="Arial" w:cs="Arial"/>
        </w:rPr>
        <w:t xml:space="preserve">The financial reporting framework that has been applied in their preparation is a special purpose framework, as defined in the Instructions, prepared by the managing agent pursuant to the provisions of paragraph 13 of the Syndicate Accounting Byelaw (No 8 of 2005) (“the Byelaw”) and the requirements referred to by Lloyd’s in the Instructions. </w:t>
      </w:r>
    </w:p>
    <w:p w14:paraId="61F0050E" w14:textId="77777777" w:rsidR="00A07C5B" w:rsidRPr="00A07C5B" w:rsidRDefault="00A07C5B" w:rsidP="00154B2D">
      <w:pPr>
        <w:jc w:val="both"/>
        <w:rPr>
          <w:rFonts w:ascii="Arial" w:hAnsi="Arial" w:cs="Arial"/>
        </w:rPr>
      </w:pPr>
      <w:r w:rsidRPr="00A07C5B">
        <w:rPr>
          <w:rFonts w:ascii="Arial" w:hAnsi="Arial" w:cs="Arial"/>
        </w:rPr>
        <w:t>In our opinion, in all material respects, the Schedule 3 data fairly states the information provided on the basis required by the Instructions and has been properly prepared in accordance with the Instructions.</w:t>
      </w:r>
    </w:p>
    <w:p w14:paraId="4FFEE6D7" w14:textId="77777777" w:rsidR="00A07C5B" w:rsidRPr="00441902" w:rsidRDefault="00A07C5B" w:rsidP="00154B2D">
      <w:pPr>
        <w:pStyle w:val="TableText"/>
        <w:tabs>
          <w:tab w:val="left" w:pos="2790"/>
        </w:tabs>
        <w:spacing w:before="240" w:after="120"/>
        <w:jc w:val="both"/>
        <w:rPr>
          <w:rFonts w:cs="Arial"/>
          <w:b/>
          <w:bCs/>
          <w:sz w:val="22"/>
          <w:szCs w:val="22"/>
        </w:rPr>
      </w:pPr>
      <w:r w:rsidRPr="00441902">
        <w:rPr>
          <w:rFonts w:cs="Arial"/>
          <w:b/>
          <w:bCs/>
          <w:sz w:val="22"/>
          <w:szCs w:val="22"/>
        </w:rPr>
        <w:t>Basis for Opinion</w:t>
      </w:r>
    </w:p>
    <w:p w14:paraId="00EAB082" w14:textId="77777777" w:rsidR="00A07C5B" w:rsidRPr="00A07C5B" w:rsidRDefault="00A07C5B" w:rsidP="00154B2D">
      <w:pPr>
        <w:jc w:val="both"/>
        <w:rPr>
          <w:rFonts w:ascii="Arial" w:hAnsi="Arial" w:cs="Arial"/>
        </w:rPr>
      </w:pPr>
      <w:r w:rsidRPr="00A07C5B">
        <w:rPr>
          <w:rFonts w:ascii="Arial" w:hAnsi="Arial" w:cs="Arial"/>
        </w:rPr>
        <w:t>We conducted our audit in accordance with International Standards on Auditing (UK) (ISAs (UK)) including ‘ISA (UK) 805 (Revised) Special Considerations – Audits of Single Financial Statements and Specific Elements, Accounts or Items of Financial Statements’. Our responsibilities under those standards are further described in the Auditor’s Responsibilities for the Audit of the Schedule 3 data section of our report. We are independent of the Syndicate in accordance with the ethical requirements that are relevant to our audit of the Schedule 3 data in the UK, including the FRC’s Ethical Standard, and we have fulfilled our other ethical responsibilities in accordance with these requirements.</w:t>
      </w:r>
    </w:p>
    <w:p w14:paraId="46821C01" w14:textId="77777777" w:rsidR="00A07C5B" w:rsidRPr="00A07C5B" w:rsidRDefault="00A07C5B" w:rsidP="00154B2D">
      <w:pPr>
        <w:jc w:val="both"/>
        <w:rPr>
          <w:rFonts w:ascii="Arial" w:hAnsi="Arial" w:cs="Arial"/>
        </w:rPr>
      </w:pPr>
      <w:r w:rsidRPr="00A07C5B">
        <w:rPr>
          <w:rFonts w:ascii="Arial" w:hAnsi="Arial" w:cs="Arial"/>
        </w:rPr>
        <w:t>We believe that the audit evidence we have obtained is sufficient and appropriate to provide a basis for our opinion.</w:t>
      </w:r>
    </w:p>
    <w:p w14:paraId="087935B9" w14:textId="77777777" w:rsidR="00A07C5B" w:rsidRPr="003E368D" w:rsidRDefault="00A07C5B" w:rsidP="00154B2D">
      <w:pPr>
        <w:pStyle w:val="TableText"/>
        <w:tabs>
          <w:tab w:val="left" w:pos="2790"/>
        </w:tabs>
        <w:spacing w:before="240" w:after="120"/>
        <w:jc w:val="both"/>
        <w:rPr>
          <w:rFonts w:cs="Arial"/>
          <w:b/>
          <w:bCs/>
          <w:sz w:val="22"/>
          <w:szCs w:val="22"/>
        </w:rPr>
      </w:pPr>
      <w:r w:rsidRPr="003E368D">
        <w:rPr>
          <w:rFonts w:cs="Arial"/>
          <w:b/>
          <w:bCs/>
          <w:sz w:val="22"/>
          <w:szCs w:val="22"/>
        </w:rPr>
        <w:t>Emphasis of Matter - Basis of Accounting and Restriction on Distribution and Use</w:t>
      </w:r>
    </w:p>
    <w:p w14:paraId="2D0EB39B" w14:textId="77777777" w:rsidR="00A07C5B" w:rsidRPr="00A07C5B" w:rsidRDefault="00A07C5B" w:rsidP="00154B2D">
      <w:pPr>
        <w:jc w:val="both"/>
        <w:rPr>
          <w:rFonts w:ascii="Arial" w:hAnsi="Arial" w:cs="Arial"/>
        </w:rPr>
      </w:pPr>
      <w:r w:rsidRPr="00A07C5B">
        <w:rPr>
          <w:rFonts w:ascii="Arial" w:hAnsi="Arial" w:cs="Arial"/>
        </w:rPr>
        <w:t xml:space="preserve">We draw attention </w:t>
      </w:r>
      <w:r w:rsidR="00F54CD1">
        <w:rPr>
          <w:rFonts w:ascii="Arial" w:hAnsi="Arial" w:cs="Arial"/>
        </w:rPr>
        <w:t>to</w:t>
      </w:r>
      <w:r w:rsidRPr="00A07C5B">
        <w:rPr>
          <w:rFonts w:ascii="Arial" w:hAnsi="Arial" w:cs="Arial"/>
        </w:rPr>
        <w:t xml:space="preserve"> the Instructions, which describe the purpose and basis of preparation of the Schedule 3 data. The Schedule 3 data is prepared for the purposes of assisting production by the syndicate’s corporate members of accounts in Schedule 3 format under UK GAAP. As a result, the Schedule 3 data may not be suitable for another purpose. Our report is intended solely for the addressees in accordance with the Instructions and our engagement letter dated [</w:t>
      </w:r>
      <w:r w:rsidRPr="00AE612B">
        <w:rPr>
          <w:rFonts w:ascii="Arial" w:hAnsi="Arial" w:cs="Arial"/>
          <w:highlight w:val="lightGray"/>
        </w:rPr>
        <w:t>insert date</w:t>
      </w:r>
      <w:r w:rsidRPr="00A07C5B">
        <w:rPr>
          <w:rFonts w:ascii="Arial" w:hAnsi="Arial" w:cs="Arial"/>
        </w:rPr>
        <w:t>] with the Managing Agent and should not be distributed to or used by parties other than the addressees of this report, the Managing Agent and the Council of Lloyd’s. Our opinion is not modified in respect of this matter</w:t>
      </w:r>
    </w:p>
    <w:p w14:paraId="280CFA08" w14:textId="77777777" w:rsidR="00A07C5B" w:rsidRPr="00A07C5B" w:rsidRDefault="00A07C5B" w:rsidP="00154B2D">
      <w:pPr>
        <w:jc w:val="both"/>
        <w:rPr>
          <w:rFonts w:ascii="Arial" w:hAnsi="Arial" w:cs="Arial"/>
        </w:rPr>
      </w:pPr>
    </w:p>
    <w:p w14:paraId="14E0CBA4" w14:textId="77777777" w:rsidR="00A07C5B" w:rsidRPr="00A07C5B" w:rsidRDefault="00A07C5B" w:rsidP="00154B2D">
      <w:pPr>
        <w:jc w:val="both"/>
        <w:rPr>
          <w:rFonts w:ascii="Arial" w:hAnsi="Arial" w:cs="Arial"/>
        </w:rPr>
      </w:pPr>
    </w:p>
    <w:p w14:paraId="0EF1180A" w14:textId="77777777" w:rsidR="00A07C5B" w:rsidRPr="003D30DB" w:rsidRDefault="00A07C5B" w:rsidP="00154B2D">
      <w:pPr>
        <w:pStyle w:val="TableText"/>
        <w:tabs>
          <w:tab w:val="left" w:pos="2790"/>
        </w:tabs>
        <w:spacing w:before="240" w:after="120"/>
        <w:jc w:val="both"/>
        <w:rPr>
          <w:rFonts w:cs="Arial"/>
          <w:b/>
          <w:bCs/>
          <w:sz w:val="22"/>
          <w:szCs w:val="22"/>
        </w:rPr>
      </w:pPr>
      <w:r w:rsidRPr="003D30DB">
        <w:rPr>
          <w:rFonts w:cs="Arial"/>
          <w:b/>
          <w:bCs/>
          <w:sz w:val="22"/>
          <w:szCs w:val="22"/>
        </w:rPr>
        <w:t>Conclusions relating to going concern</w:t>
      </w:r>
    </w:p>
    <w:p w14:paraId="5233F9B8" w14:textId="77777777" w:rsidR="00A07C5B" w:rsidRPr="00A07C5B" w:rsidRDefault="00A07C5B" w:rsidP="00154B2D">
      <w:pPr>
        <w:jc w:val="both"/>
        <w:rPr>
          <w:rFonts w:ascii="Arial" w:hAnsi="Arial" w:cs="Arial"/>
        </w:rPr>
      </w:pPr>
      <w:r w:rsidRPr="00A07C5B">
        <w:rPr>
          <w:rFonts w:ascii="Arial" w:hAnsi="Arial" w:cs="Arial"/>
        </w:rPr>
        <w:t>We have nothing to report in respect of the following matters in relation to which the ISAs (UK) require us to report to you where:</w:t>
      </w:r>
    </w:p>
    <w:p w14:paraId="2EFFE9A0" w14:textId="77777777" w:rsidR="00A07C5B" w:rsidRPr="003D30DB" w:rsidRDefault="00A07C5B" w:rsidP="00154B2D">
      <w:pPr>
        <w:pStyle w:val="ListParagraph"/>
        <w:numPr>
          <w:ilvl w:val="0"/>
          <w:numId w:val="2"/>
        </w:numPr>
        <w:jc w:val="both"/>
        <w:rPr>
          <w:rFonts w:ascii="Arial" w:hAnsi="Arial" w:cs="Arial"/>
        </w:rPr>
      </w:pPr>
      <w:r w:rsidRPr="003D30DB">
        <w:rPr>
          <w:rFonts w:ascii="Arial" w:hAnsi="Arial" w:cs="Arial"/>
        </w:rPr>
        <w:t>the directors’ of the managing agent use of the going concern basis of accounting in the preparation of the Schedule 3 data is not appropriate; or</w:t>
      </w:r>
    </w:p>
    <w:p w14:paraId="2AB27A8A" w14:textId="77777777" w:rsidR="00A07C5B" w:rsidRPr="003D30DB" w:rsidRDefault="00A07C5B" w:rsidP="00154B2D">
      <w:pPr>
        <w:pStyle w:val="ListParagraph"/>
        <w:numPr>
          <w:ilvl w:val="0"/>
          <w:numId w:val="2"/>
        </w:numPr>
        <w:jc w:val="both"/>
        <w:rPr>
          <w:rFonts w:ascii="Arial" w:hAnsi="Arial" w:cs="Arial"/>
        </w:rPr>
      </w:pPr>
      <w:r w:rsidRPr="003D30DB">
        <w:rPr>
          <w:rFonts w:ascii="Arial" w:hAnsi="Arial" w:cs="Arial"/>
        </w:rPr>
        <w:t>the directors of the managing agent have not disclosed in the Schedule 3 data any identified material uncertainties that may cast significant doubt about the Syndicate’s ability to continue to adopt the going concern basis of accounting for a period of at least twelve months from the date when the Schedule 3 data is authorised for issue.</w:t>
      </w:r>
    </w:p>
    <w:p w14:paraId="1C13CAB0" w14:textId="77777777" w:rsidR="00A07C5B" w:rsidRPr="003F489F" w:rsidRDefault="00A07C5B" w:rsidP="00154B2D">
      <w:pPr>
        <w:pStyle w:val="TableText"/>
        <w:tabs>
          <w:tab w:val="left" w:pos="2790"/>
        </w:tabs>
        <w:spacing w:before="240" w:after="120"/>
        <w:jc w:val="both"/>
        <w:rPr>
          <w:rFonts w:cs="Arial"/>
          <w:b/>
          <w:bCs/>
          <w:sz w:val="22"/>
          <w:szCs w:val="22"/>
        </w:rPr>
      </w:pPr>
      <w:r w:rsidRPr="003F489F">
        <w:rPr>
          <w:rFonts w:cs="Arial"/>
          <w:b/>
          <w:bCs/>
          <w:sz w:val="22"/>
          <w:szCs w:val="22"/>
        </w:rPr>
        <w:t>Responsibilities of the directors of the Managing Agent</w:t>
      </w:r>
    </w:p>
    <w:p w14:paraId="3E539183" w14:textId="77777777" w:rsidR="00A07C5B" w:rsidRPr="00A07C5B" w:rsidRDefault="00A07C5B" w:rsidP="00154B2D">
      <w:pPr>
        <w:jc w:val="both"/>
        <w:rPr>
          <w:rFonts w:ascii="Arial" w:hAnsi="Arial" w:cs="Arial"/>
        </w:rPr>
      </w:pPr>
      <w:r w:rsidRPr="00A07C5B">
        <w:rPr>
          <w:rFonts w:ascii="Arial" w:hAnsi="Arial" w:cs="Arial"/>
        </w:rPr>
        <w:t xml:space="preserve">The directors of the managing agent are responsible for the preparation of the Schedule 3 data in accordance with the Instructions and for such internal control as management determines is necessary to enable the preparation of Schedule 3 data that is free from material misstatement, whether due to fraud or error. </w:t>
      </w:r>
    </w:p>
    <w:p w14:paraId="270224AF" w14:textId="77777777" w:rsidR="00A07C5B" w:rsidRPr="00A07C5B" w:rsidRDefault="00A07C5B" w:rsidP="00154B2D">
      <w:pPr>
        <w:jc w:val="both"/>
        <w:rPr>
          <w:rFonts w:ascii="Arial" w:hAnsi="Arial" w:cs="Arial"/>
        </w:rPr>
      </w:pPr>
      <w:r w:rsidRPr="00A07C5B">
        <w:rPr>
          <w:rFonts w:ascii="Arial" w:hAnsi="Arial" w:cs="Arial"/>
        </w:rPr>
        <w:t>In preparing the Schedule 3 data, management is responsible for assessing the Syndicate’s ability to continue as a going concern, disclosing, as applicable, matters relating to going concern and using the going concern basis of accounting unless management either intends to liquidate the Syndicate or to cease the Syndicate operations, or has no realistic alternative but to do so.</w:t>
      </w:r>
    </w:p>
    <w:p w14:paraId="18461C1A" w14:textId="77777777" w:rsidR="00A07C5B" w:rsidRPr="00A07C5B" w:rsidRDefault="00A07C5B" w:rsidP="00154B2D">
      <w:pPr>
        <w:jc w:val="both"/>
        <w:rPr>
          <w:rFonts w:ascii="Arial" w:hAnsi="Arial" w:cs="Arial"/>
        </w:rPr>
      </w:pPr>
      <w:r w:rsidRPr="00A07C5B">
        <w:rPr>
          <w:rFonts w:ascii="Arial" w:hAnsi="Arial" w:cs="Arial"/>
        </w:rPr>
        <w:t>Those charged with governance are responsible for overseeing the Syndicate’s financial reporting process.</w:t>
      </w:r>
    </w:p>
    <w:p w14:paraId="54B0D2B5" w14:textId="77777777" w:rsidR="00A07C5B" w:rsidRPr="003F489F" w:rsidRDefault="00A07C5B" w:rsidP="00154B2D">
      <w:pPr>
        <w:pStyle w:val="TableText"/>
        <w:tabs>
          <w:tab w:val="left" w:pos="2790"/>
        </w:tabs>
        <w:spacing w:before="240" w:after="120"/>
        <w:jc w:val="both"/>
        <w:rPr>
          <w:rFonts w:cs="Arial"/>
          <w:b/>
          <w:bCs/>
          <w:sz w:val="22"/>
          <w:szCs w:val="22"/>
        </w:rPr>
      </w:pPr>
      <w:r w:rsidRPr="003F489F">
        <w:rPr>
          <w:rFonts w:cs="Arial"/>
          <w:b/>
          <w:bCs/>
          <w:sz w:val="22"/>
          <w:szCs w:val="22"/>
        </w:rPr>
        <w:t>Auditor’s Responsibilities for the Audit of the Schedule 3 data</w:t>
      </w:r>
    </w:p>
    <w:p w14:paraId="1E904B9D" w14:textId="77777777" w:rsidR="00A07C5B" w:rsidRPr="00A07C5B" w:rsidRDefault="00A07C5B" w:rsidP="00154B2D">
      <w:pPr>
        <w:jc w:val="both"/>
        <w:rPr>
          <w:rFonts w:ascii="Arial" w:hAnsi="Arial" w:cs="Arial"/>
        </w:rPr>
      </w:pPr>
      <w:r w:rsidRPr="00A07C5B">
        <w:rPr>
          <w:rFonts w:ascii="Arial" w:hAnsi="Arial" w:cs="Arial"/>
        </w:rPr>
        <w:t>Our objectives are to obtain reasonable assurance about whether the Schedule 3 data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 Schedule 3 data.</w:t>
      </w:r>
    </w:p>
    <w:p w14:paraId="20B1820E" w14:textId="77777777" w:rsidR="00A07C5B" w:rsidRPr="00A07C5B" w:rsidRDefault="00A07C5B" w:rsidP="00154B2D">
      <w:pPr>
        <w:jc w:val="both"/>
        <w:rPr>
          <w:rFonts w:ascii="Arial" w:hAnsi="Arial" w:cs="Arial"/>
        </w:rPr>
      </w:pPr>
      <w:r w:rsidRPr="00A07C5B">
        <w:rPr>
          <w:rFonts w:ascii="Arial" w:hAnsi="Arial" w:cs="Arial"/>
        </w:rPr>
        <w:t>A further description of our responsibilities for the audit of the Schedule 3 data is located on the Financial Reporting Council’s website at https://www.frc.org.uk/auditorsresponsibilities.  This description forms part of our auditor’s report.</w:t>
      </w:r>
    </w:p>
    <w:p w14:paraId="54D71985" w14:textId="77777777" w:rsidR="00A07C5B" w:rsidRPr="00A07C5B" w:rsidRDefault="00A07C5B" w:rsidP="00A07C5B">
      <w:pPr>
        <w:rPr>
          <w:rFonts w:ascii="Arial" w:hAnsi="Arial" w:cs="Arial"/>
        </w:rPr>
      </w:pPr>
    </w:p>
    <w:p w14:paraId="5AFAD343" w14:textId="77777777" w:rsidR="00A07C5B" w:rsidRPr="00A07C5B" w:rsidRDefault="00A07C5B" w:rsidP="00A07C5B">
      <w:pPr>
        <w:rPr>
          <w:rFonts w:ascii="Arial" w:hAnsi="Arial" w:cs="Arial"/>
        </w:rPr>
      </w:pPr>
      <w:r w:rsidRPr="00A07C5B">
        <w:rPr>
          <w:rFonts w:ascii="Arial" w:hAnsi="Arial" w:cs="Arial"/>
        </w:rPr>
        <w:t>[</w:t>
      </w:r>
      <w:r w:rsidRPr="00AF1926">
        <w:rPr>
          <w:rFonts w:ascii="Arial" w:hAnsi="Arial" w:cs="Arial"/>
          <w:highlight w:val="lightGray"/>
        </w:rPr>
        <w:t>Audit firm</w:t>
      </w:r>
      <w:r w:rsidRPr="00A07C5B">
        <w:rPr>
          <w:rFonts w:ascii="Arial" w:hAnsi="Arial" w:cs="Arial"/>
        </w:rPr>
        <w:t>]</w:t>
      </w:r>
    </w:p>
    <w:p w14:paraId="6387AA46" w14:textId="77777777" w:rsidR="00A07C5B" w:rsidRPr="00A07C5B" w:rsidRDefault="00A07C5B" w:rsidP="00A07C5B">
      <w:pPr>
        <w:rPr>
          <w:rFonts w:ascii="Arial" w:hAnsi="Arial" w:cs="Arial"/>
        </w:rPr>
      </w:pPr>
      <w:r w:rsidRPr="00A07C5B">
        <w:rPr>
          <w:rFonts w:ascii="Arial" w:hAnsi="Arial" w:cs="Arial"/>
        </w:rPr>
        <w:t>[</w:t>
      </w:r>
      <w:r w:rsidRPr="00AF1926">
        <w:rPr>
          <w:rFonts w:ascii="Arial" w:hAnsi="Arial" w:cs="Arial"/>
          <w:highlight w:val="lightGray"/>
        </w:rPr>
        <w:t>City</w:t>
      </w:r>
      <w:r w:rsidRPr="00A07C5B">
        <w:rPr>
          <w:rFonts w:ascii="Arial" w:hAnsi="Arial" w:cs="Arial"/>
        </w:rPr>
        <w:t>]</w:t>
      </w:r>
    </w:p>
    <w:p w14:paraId="669C1FB6" w14:textId="77777777" w:rsidR="00D87CA9" w:rsidRPr="006D5DAD" w:rsidRDefault="00A07C5B" w:rsidP="00A07C5B">
      <w:pPr>
        <w:rPr>
          <w:rFonts w:ascii="Arial" w:hAnsi="Arial" w:cs="Arial"/>
        </w:rPr>
      </w:pPr>
      <w:r w:rsidRPr="00A07C5B">
        <w:rPr>
          <w:rFonts w:ascii="Arial" w:hAnsi="Arial" w:cs="Arial"/>
        </w:rPr>
        <w:t>[</w:t>
      </w:r>
      <w:r w:rsidRPr="00AF1926">
        <w:rPr>
          <w:rFonts w:ascii="Arial" w:hAnsi="Arial" w:cs="Arial"/>
          <w:highlight w:val="lightGray"/>
        </w:rPr>
        <w:t>Date</w:t>
      </w:r>
      <w:r w:rsidRPr="00A07C5B">
        <w:rPr>
          <w:rFonts w:ascii="Arial" w:hAnsi="Arial" w:cs="Arial"/>
        </w:rPr>
        <w:t>]</w:t>
      </w:r>
    </w:p>
    <w:tbl>
      <w:tblPr>
        <w:tblStyle w:val="TableGrid"/>
        <w:tblW w:w="7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118"/>
      </w:tblGrid>
      <w:tr w:rsidR="006D5DAD" w:rsidRPr="006D5DAD" w14:paraId="76799362" w14:textId="77777777" w:rsidTr="006D5DAD">
        <w:tc>
          <w:tcPr>
            <w:tcW w:w="4678" w:type="dxa"/>
            <w:vAlign w:val="bottom"/>
          </w:tcPr>
          <w:p w14:paraId="0E79729F" w14:textId="77777777" w:rsidR="006D5DAD" w:rsidRPr="006D5DAD" w:rsidRDefault="006D5DAD" w:rsidP="006D5DAD">
            <w:pPr>
              <w:pStyle w:val="Bullet"/>
              <w:numPr>
                <w:ilvl w:val="2"/>
                <w:numId w:val="0"/>
              </w:numPr>
              <w:tabs>
                <w:tab w:val="num" w:pos="0"/>
                <w:tab w:val="num" w:pos="2160"/>
              </w:tabs>
              <w:spacing w:before="240" w:after="0"/>
              <w:ind w:hanging="85"/>
              <w:rPr>
                <w:rFonts w:cs="Arial"/>
                <w:color w:val="auto"/>
                <w:sz w:val="22"/>
              </w:rPr>
            </w:pPr>
            <w:bookmarkStart w:id="0" w:name="_3602c363_d6c2_458b_a6e8_6ed8e3eca93c"/>
            <w:bookmarkEnd w:id="0"/>
            <w:r w:rsidRPr="006D5DAD">
              <w:rPr>
                <w:rFonts w:cs="Arial"/>
                <w:color w:val="auto"/>
                <w:sz w:val="22"/>
              </w:rPr>
              <w:t>Schedule 3 data version number / timestamp:</w:t>
            </w:r>
          </w:p>
        </w:tc>
        <w:tc>
          <w:tcPr>
            <w:tcW w:w="3118" w:type="dxa"/>
            <w:tcBorders>
              <w:bottom w:val="single" w:sz="4" w:space="0" w:color="000000" w:themeColor="text1"/>
            </w:tcBorders>
            <w:tcMar>
              <w:left w:w="170" w:type="dxa"/>
            </w:tcMar>
            <w:vAlign w:val="bottom"/>
          </w:tcPr>
          <w:p w14:paraId="642EE7A5" w14:textId="77777777" w:rsidR="006D5DAD" w:rsidRPr="006D5DAD" w:rsidRDefault="006D5DAD" w:rsidP="006D5DAD">
            <w:pPr>
              <w:pStyle w:val="Bullet"/>
              <w:numPr>
                <w:ilvl w:val="2"/>
                <w:numId w:val="0"/>
              </w:numPr>
              <w:tabs>
                <w:tab w:val="num" w:pos="0"/>
                <w:tab w:val="num" w:pos="2160"/>
              </w:tabs>
              <w:spacing w:before="240" w:after="0"/>
              <w:ind w:hanging="85"/>
              <w:rPr>
                <w:rFonts w:cs="Arial"/>
                <w:color w:val="auto"/>
                <w:sz w:val="22"/>
              </w:rPr>
            </w:pPr>
          </w:p>
        </w:tc>
      </w:tr>
    </w:tbl>
    <w:p w14:paraId="31180CC4" w14:textId="77777777" w:rsidR="00981DA6" w:rsidRPr="006D5DAD" w:rsidRDefault="00981DA6" w:rsidP="00D87CA9">
      <w:pPr>
        <w:rPr>
          <w:rFonts w:ascii="Arial" w:hAnsi="Arial" w:cs="Arial"/>
        </w:rPr>
      </w:pPr>
    </w:p>
    <w:sectPr w:rsidR="00981DA6" w:rsidRPr="006D5DA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41213" w14:textId="77777777" w:rsidR="008C05CE" w:rsidRDefault="008C05CE" w:rsidP="006D5DAD">
      <w:pPr>
        <w:spacing w:after="0" w:line="240" w:lineRule="auto"/>
      </w:pPr>
      <w:r>
        <w:separator/>
      </w:r>
    </w:p>
  </w:endnote>
  <w:endnote w:type="continuationSeparator" w:id="0">
    <w:p w14:paraId="68360475" w14:textId="77777777" w:rsidR="008C05CE" w:rsidRDefault="008C05CE" w:rsidP="006D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ansa Lloyds">
    <w:altName w:val="Calibri"/>
    <w:charset w:val="00"/>
    <w:family w:val="auto"/>
    <w:pitch w:val="variable"/>
    <w:sig w:usb0="80000023"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9FB0" w14:textId="77777777" w:rsidR="006D5DAD" w:rsidRDefault="006D5DAD">
    <w:pPr>
      <w:pStyle w:val="Footer"/>
    </w:pPr>
    <w:r>
      <w:rPr>
        <w:noProof/>
      </w:rPr>
      <mc:AlternateContent>
        <mc:Choice Requires="wps">
          <w:drawing>
            <wp:anchor distT="0" distB="0" distL="0" distR="0" simplePos="0" relativeHeight="251657728" behindDoc="0" locked="0" layoutInCell="1" allowOverlap="1" wp14:anchorId="6594CAF1" wp14:editId="183A7FC1">
              <wp:simplePos x="635" y="635"/>
              <wp:positionH relativeFrom="page">
                <wp:align>center</wp:align>
              </wp:positionH>
              <wp:positionV relativeFrom="page">
                <wp:align>bottom</wp:align>
              </wp:positionV>
              <wp:extent cx="1356995" cy="357505"/>
              <wp:effectExtent l="0" t="0" r="14605" b="0"/>
              <wp:wrapNone/>
              <wp:docPr id="2049417056" name="Text Box 2"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6995" cy="357505"/>
                      </a:xfrm>
                      <a:prstGeom prst="rect">
                        <a:avLst/>
                      </a:prstGeom>
                      <a:noFill/>
                      <a:ln>
                        <a:noFill/>
                      </a:ln>
                    </wps:spPr>
                    <wps:txbx>
                      <w:txbxContent>
                        <w:p w14:paraId="5B33825E" w14:textId="77777777" w:rsidR="006D5DAD" w:rsidRPr="006D5DAD" w:rsidRDefault="006D5DAD" w:rsidP="006D5DAD">
                          <w:pPr>
                            <w:spacing w:after="0"/>
                            <w:rPr>
                              <w:rFonts w:ascii="Calibri" w:eastAsia="Calibri" w:hAnsi="Calibri" w:cs="Calibri"/>
                              <w:noProof/>
                              <w:color w:val="000000"/>
                              <w:sz w:val="20"/>
                              <w:szCs w:val="20"/>
                            </w:rPr>
                          </w:pPr>
                          <w:r w:rsidRPr="006D5DAD">
                            <w:rPr>
                              <w:rFonts w:ascii="Calibri" w:eastAsia="Calibri" w:hAnsi="Calibri" w:cs="Calibri"/>
                              <w:noProof/>
                              <w:color w:val="00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077009" id="_x0000_t202" coordsize="21600,21600" o:spt="202" path="m,l,21600r21600,l21600,xe">
              <v:stroke joinstyle="miter"/>
              <v:path gradientshapeok="t" o:connecttype="rect"/>
            </v:shapetype>
            <v:shape id="Text Box 2" o:spid="_x0000_s1026" type="#_x0000_t202" alt="Classification: Confidential" style="position:absolute;margin-left:0;margin-top:0;width:106.85pt;height:28.1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" filled="f" stroked="f">
              <v:textbox style="mso-fit-shape-to-text:t" inset="0,0,0,15pt">
                <w:txbxContent>
                  <w:p w:rsidR="006D5DAD" w:rsidRPr="006D5DAD" w:rsidRDefault="006D5DAD" w:rsidP="006D5DAD">
                    <w:pPr>
                      <w:spacing w:after="0"/>
                      <w:rPr>
                        <w:rFonts w:ascii="Calibri" w:eastAsia="Calibri" w:hAnsi="Calibri" w:cs="Calibri"/>
                        <w:noProof/>
                        <w:color w:val="000000"/>
                        <w:sz w:val="20"/>
                        <w:szCs w:val="20"/>
                      </w:rPr>
                    </w:pPr>
                    <w:r w:rsidRPr="006D5DAD">
                      <w:rPr>
                        <w:rFonts w:ascii="Calibri" w:eastAsia="Calibri" w:hAnsi="Calibri" w:cs="Calibri"/>
                        <w:noProof/>
                        <w:color w:val="000000"/>
                        <w:sz w:val="20"/>
                        <w:szCs w:val="20"/>
                      </w:rPr>
                      <w:t>Classification: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D65C3" w14:textId="77777777" w:rsidR="00A87D8D" w:rsidRDefault="00A87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DC6F" w14:textId="77777777" w:rsidR="006D5DAD" w:rsidRDefault="006D5DAD">
    <w:pPr>
      <w:pStyle w:val="Footer"/>
    </w:pPr>
    <w:r>
      <w:rPr>
        <w:noProof/>
      </w:rPr>
      <mc:AlternateContent>
        <mc:Choice Requires="wps">
          <w:drawing>
            <wp:anchor distT="0" distB="0" distL="0" distR="0" simplePos="0" relativeHeight="251656704" behindDoc="0" locked="0" layoutInCell="1" allowOverlap="1" wp14:anchorId="1743E0CA" wp14:editId="22135869">
              <wp:simplePos x="635" y="635"/>
              <wp:positionH relativeFrom="page">
                <wp:align>center</wp:align>
              </wp:positionH>
              <wp:positionV relativeFrom="page">
                <wp:align>bottom</wp:align>
              </wp:positionV>
              <wp:extent cx="1356995" cy="357505"/>
              <wp:effectExtent l="0" t="0" r="14605" b="0"/>
              <wp:wrapNone/>
              <wp:docPr id="444270" name="Text Box 1"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6995" cy="357505"/>
                      </a:xfrm>
                      <a:prstGeom prst="rect">
                        <a:avLst/>
                      </a:prstGeom>
                      <a:noFill/>
                      <a:ln>
                        <a:noFill/>
                      </a:ln>
                    </wps:spPr>
                    <wps:txbx>
                      <w:txbxContent>
                        <w:p w14:paraId="1783F6AF" w14:textId="77777777" w:rsidR="006D5DAD" w:rsidRPr="006D5DAD" w:rsidRDefault="006D5DAD" w:rsidP="006D5DAD">
                          <w:pPr>
                            <w:spacing w:after="0"/>
                            <w:rPr>
                              <w:rFonts w:ascii="Calibri" w:eastAsia="Calibri" w:hAnsi="Calibri" w:cs="Calibri"/>
                              <w:noProof/>
                              <w:color w:val="000000"/>
                              <w:sz w:val="20"/>
                              <w:szCs w:val="20"/>
                            </w:rPr>
                          </w:pPr>
                          <w:r w:rsidRPr="006D5DAD">
                            <w:rPr>
                              <w:rFonts w:ascii="Calibri" w:eastAsia="Calibri" w:hAnsi="Calibri" w:cs="Calibri"/>
                              <w:noProof/>
                              <w:color w:val="00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D9473D" id="_x0000_t202" coordsize="21600,21600" o:spt="202" path="m,l,21600r21600,l21600,xe">
              <v:stroke joinstyle="miter"/>
              <v:path gradientshapeok="t" o:connecttype="rect"/>
            </v:shapetype>
            <v:shape id="Text Box 1" o:spid="_x0000_s1027" type="#_x0000_t202" alt="Classification: Confidential" style="position:absolute;margin-left:0;margin-top:0;width:106.85pt;height:28.1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" filled="f" stroked="f">
              <v:textbox style="mso-fit-shape-to-text:t" inset="0,0,0,15pt">
                <w:txbxContent>
                  <w:p w:rsidR="006D5DAD" w:rsidRPr="006D5DAD" w:rsidRDefault="006D5DAD" w:rsidP="006D5DAD">
                    <w:pPr>
                      <w:spacing w:after="0"/>
                      <w:rPr>
                        <w:rFonts w:ascii="Calibri" w:eastAsia="Calibri" w:hAnsi="Calibri" w:cs="Calibri"/>
                        <w:noProof/>
                        <w:color w:val="000000"/>
                        <w:sz w:val="20"/>
                        <w:szCs w:val="20"/>
                      </w:rPr>
                    </w:pPr>
                    <w:r w:rsidRPr="006D5DAD">
                      <w:rPr>
                        <w:rFonts w:ascii="Calibri" w:eastAsia="Calibri" w:hAnsi="Calibri" w:cs="Calibri"/>
                        <w:noProof/>
                        <w:color w:val="000000"/>
                        <w:sz w:val="20"/>
                        <w:szCs w:val="20"/>
                      </w:rPr>
                      <w:t>Classification: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F99F6" w14:textId="77777777" w:rsidR="008C05CE" w:rsidRDefault="008C05CE" w:rsidP="006D5DAD">
      <w:pPr>
        <w:spacing w:after="0" w:line="240" w:lineRule="auto"/>
      </w:pPr>
      <w:r>
        <w:separator/>
      </w:r>
    </w:p>
  </w:footnote>
  <w:footnote w:type="continuationSeparator" w:id="0">
    <w:p w14:paraId="031993CF" w14:textId="77777777" w:rsidR="008C05CE" w:rsidRDefault="008C05CE" w:rsidP="006D5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8E4B" w14:textId="77777777" w:rsidR="00A87D8D" w:rsidRDefault="00A87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66AC5" w14:textId="22636662" w:rsidR="00A87D8D" w:rsidRDefault="00A87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34F36" w14:textId="77777777" w:rsidR="00A87D8D" w:rsidRDefault="00A87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6674C"/>
    <w:multiLevelType w:val="hybridMultilevel"/>
    <w:tmpl w:val="7AF23668"/>
    <w:lvl w:ilvl="0" w:tplc="E41A720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575434"/>
    <w:multiLevelType w:val="hybridMultilevel"/>
    <w:tmpl w:val="186C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793883">
    <w:abstractNumId w:val="1"/>
  </w:num>
  <w:num w:numId="2" w16cid:durableId="85923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A9"/>
    <w:rsid w:val="000C322B"/>
    <w:rsid w:val="000D688D"/>
    <w:rsid w:val="001377A3"/>
    <w:rsid w:val="00154B2D"/>
    <w:rsid w:val="00182942"/>
    <w:rsid w:val="001A48D6"/>
    <w:rsid w:val="001A644A"/>
    <w:rsid w:val="002B556F"/>
    <w:rsid w:val="002D261E"/>
    <w:rsid w:val="002E0189"/>
    <w:rsid w:val="00371C5F"/>
    <w:rsid w:val="003D30DB"/>
    <w:rsid w:val="003E368D"/>
    <w:rsid w:val="003F489F"/>
    <w:rsid w:val="00441902"/>
    <w:rsid w:val="0067718E"/>
    <w:rsid w:val="006A2770"/>
    <w:rsid w:val="006B0F5A"/>
    <w:rsid w:val="006D5DAD"/>
    <w:rsid w:val="00700E50"/>
    <w:rsid w:val="0077308B"/>
    <w:rsid w:val="00821E63"/>
    <w:rsid w:val="008365F3"/>
    <w:rsid w:val="00857581"/>
    <w:rsid w:val="008611A1"/>
    <w:rsid w:val="008A4E14"/>
    <w:rsid w:val="008B45A1"/>
    <w:rsid w:val="008B5F93"/>
    <w:rsid w:val="008C05CE"/>
    <w:rsid w:val="009122D4"/>
    <w:rsid w:val="00981DA6"/>
    <w:rsid w:val="00A07C5B"/>
    <w:rsid w:val="00A87D8D"/>
    <w:rsid w:val="00AC717D"/>
    <w:rsid w:val="00AE612B"/>
    <w:rsid w:val="00AF1926"/>
    <w:rsid w:val="00B037E4"/>
    <w:rsid w:val="00BE4FD8"/>
    <w:rsid w:val="00C23461"/>
    <w:rsid w:val="00C5312D"/>
    <w:rsid w:val="00C66FCD"/>
    <w:rsid w:val="00CD27D9"/>
    <w:rsid w:val="00D87CA9"/>
    <w:rsid w:val="00E34F40"/>
    <w:rsid w:val="00E81E57"/>
    <w:rsid w:val="00F0286B"/>
    <w:rsid w:val="00F54C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44DEB"/>
  <w15:chartTrackingRefBased/>
  <w15:docId w15:val="{9C6D40F0-C1BF-43A1-8840-1ECCA0D7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CA9"/>
    <w:rPr>
      <w:rFonts w:eastAsiaTheme="majorEastAsia" w:cstheme="majorBidi"/>
      <w:color w:val="272727" w:themeColor="text1" w:themeTint="D8"/>
    </w:rPr>
  </w:style>
  <w:style w:type="paragraph" w:styleId="Title">
    <w:name w:val="Title"/>
    <w:basedOn w:val="Normal"/>
    <w:next w:val="Normal"/>
    <w:link w:val="TitleChar"/>
    <w:uiPriority w:val="10"/>
    <w:qFormat/>
    <w:rsid w:val="00D87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CA9"/>
    <w:pPr>
      <w:spacing w:before="160"/>
      <w:jc w:val="center"/>
    </w:pPr>
    <w:rPr>
      <w:i/>
      <w:iCs/>
      <w:color w:val="404040" w:themeColor="text1" w:themeTint="BF"/>
    </w:rPr>
  </w:style>
  <w:style w:type="character" w:customStyle="1" w:styleId="QuoteChar">
    <w:name w:val="Quote Char"/>
    <w:basedOn w:val="DefaultParagraphFont"/>
    <w:link w:val="Quote"/>
    <w:uiPriority w:val="29"/>
    <w:rsid w:val="00D87CA9"/>
    <w:rPr>
      <w:i/>
      <w:iCs/>
      <w:color w:val="404040" w:themeColor="text1" w:themeTint="BF"/>
    </w:rPr>
  </w:style>
  <w:style w:type="paragraph" w:styleId="ListParagraph">
    <w:name w:val="List Paragraph"/>
    <w:basedOn w:val="Normal"/>
    <w:uiPriority w:val="34"/>
    <w:qFormat/>
    <w:rsid w:val="00D87CA9"/>
    <w:pPr>
      <w:ind w:left="720"/>
      <w:contextualSpacing/>
    </w:pPr>
  </w:style>
  <w:style w:type="character" w:styleId="IntenseEmphasis">
    <w:name w:val="Intense Emphasis"/>
    <w:basedOn w:val="DefaultParagraphFont"/>
    <w:uiPriority w:val="21"/>
    <w:qFormat/>
    <w:rsid w:val="00D87CA9"/>
    <w:rPr>
      <w:i/>
      <w:iCs/>
      <w:color w:val="0F4761" w:themeColor="accent1" w:themeShade="BF"/>
    </w:rPr>
  </w:style>
  <w:style w:type="paragraph" w:styleId="IntenseQuote">
    <w:name w:val="Intense Quote"/>
    <w:basedOn w:val="Normal"/>
    <w:next w:val="Normal"/>
    <w:link w:val="IntenseQuoteChar"/>
    <w:uiPriority w:val="30"/>
    <w:qFormat/>
    <w:rsid w:val="00D87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CA9"/>
    <w:rPr>
      <w:i/>
      <w:iCs/>
      <w:color w:val="0F4761" w:themeColor="accent1" w:themeShade="BF"/>
    </w:rPr>
  </w:style>
  <w:style w:type="character" w:styleId="IntenseReference">
    <w:name w:val="Intense Reference"/>
    <w:basedOn w:val="DefaultParagraphFont"/>
    <w:uiPriority w:val="32"/>
    <w:qFormat/>
    <w:rsid w:val="00D87CA9"/>
    <w:rPr>
      <w:b/>
      <w:bCs/>
      <w:smallCaps/>
      <w:color w:val="0F4761" w:themeColor="accent1" w:themeShade="BF"/>
      <w:spacing w:val="5"/>
    </w:rPr>
  </w:style>
  <w:style w:type="table" w:styleId="TableGrid">
    <w:name w:val="Table Grid"/>
    <w:basedOn w:val="TableNormal"/>
    <w:uiPriority w:val="39"/>
    <w:rsid w:val="00D87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Indent"/>
    <w:link w:val="BulletChar"/>
    <w:autoRedefine/>
    <w:qFormat/>
    <w:rsid w:val="00D87CA9"/>
    <w:pPr>
      <w:tabs>
        <w:tab w:val="num" w:pos="0"/>
        <w:tab w:val="right" w:pos="5897"/>
      </w:tabs>
      <w:spacing w:after="120" w:line="240" w:lineRule="auto"/>
      <w:ind w:left="0" w:hanging="85"/>
    </w:pPr>
    <w:rPr>
      <w:rFonts w:ascii="Arial" w:eastAsia="Times New Roman" w:hAnsi="Arial" w:cs="Times New Roman"/>
      <w:bCs/>
      <w:color w:val="0F4761" w:themeColor="accent1" w:themeShade="BF"/>
      <w:kern w:val="0"/>
      <w:sz w:val="28"/>
      <w:szCs w:val="20"/>
      <w:lang w:eastAsia="en-GB"/>
      <w14:ligatures w14:val="none"/>
    </w:rPr>
  </w:style>
  <w:style w:type="character" w:customStyle="1" w:styleId="BulletChar">
    <w:name w:val="Bullet Char"/>
    <w:basedOn w:val="Heading3Char"/>
    <w:link w:val="Bullet"/>
    <w:rsid w:val="00D87CA9"/>
    <w:rPr>
      <w:rFonts w:ascii="Arial" w:eastAsia="Times New Roman" w:hAnsi="Arial" w:cs="Times New Roman"/>
      <w:bCs/>
      <w:color w:val="0F4761" w:themeColor="accent1" w:themeShade="BF"/>
      <w:kern w:val="0"/>
      <w:sz w:val="28"/>
      <w:szCs w:val="20"/>
      <w:lang w:eastAsia="en-GB"/>
      <w14:ligatures w14:val="none"/>
    </w:rPr>
  </w:style>
  <w:style w:type="paragraph" w:styleId="NormalIndent">
    <w:name w:val="Normal Indent"/>
    <w:basedOn w:val="Normal"/>
    <w:uiPriority w:val="99"/>
    <w:semiHidden/>
    <w:unhideWhenUsed/>
    <w:rsid w:val="00D87CA9"/>
    <w:pPr>
      <w:ind w:left="720"/>
    </w:pPr>
  </w:style>
  <w:style w:type="paragraph" w:customStyle="1" w:styleId="TableText">
    <w:name w:val="Table Text"/>
    <w:uiPriority w:val="19"/>
    <w:qFormat/>
    <w:rsid w:val="00D87CA9"/>
    <w:pPr>
      <w:keepNext/>
      <w:spacing w:after="60" w:line="240" w:lineRule="auto"/>
    </w:pPr>
    <w:rPr>
      <w:rFonts w:ascii="Arial" w:eastAsia="Times New Roman" w:hAnsi="Arial" w:cs="Times New Roman"/>
      <w:kern w:val="0"/>
      <w:sz w:val="20"/>
      <w:szCs w:val="20"/>
      <w14:ligatures w14:val="none"/>
    </w:rPr>
  </w:style>
  <w:style w:type="paragraph" w:styleId="Footer">
    <w:name w:val="footer"/>
    <w:basedOn w:val="Normal"/>
    <w:link w:val="FooterChar"/>
    <w:uiPriority w:val="99"/>
    <w:unhideWhenUsed/>
    <w:rsid w:val="006D5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DAD"/>
  </w:style>
  <w:style w:type="paragraph" w:styleId="Header">
    <w:name w:val="header"/>
    <w:basedOn w:val="Normal"/>
    <w:link w:val="HeaderChar"/>
    <w:uiPriority w:val="99"/>
    <w:unhideWhenUsed/>
    <w:rsid w:val="00AF1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441a32c-6493-48fd-ab9c-771c1878cafe">
      <Terms xmlns="http://schemas.microsoft.com/office/infopath/2007/PartnerControls"/>
    </lcf76f155ced4ddcb4097134ff3c332f>
    <TaxCatchAll xmlns="d82d302b-2c21-4c06-9bc4-847ca1a580e8" xsi:nil="true"/>
    <Comment xmlns="8441a32c-6493-48fd-ab9c-771c1878ca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1B37B7A827F048B648F997DC5DDE02" ma:contentTypeVersion="17" ma:contentTypeDescription="Create a new document." ma:contentTypeScope="" ma:versionID="4cdadc7c22773514c3a94cc26cae23f6">
  <xsd:schema xmlns:xsd="http://www.w3.org/2001/XMLSchema" xmlns:xs="http://www.w3.org/2001/XMLSchema" xmlns:p="http://schemas.microsoft.com/office/2006/metadata/properties" xmlns:ns1="http://schemas.microsoft.com/sharepoint/v3" xmlns:ns2="8441a32c-6493-48fd-ab9c-771c1878cafe" xmlns:ns3="d82d302b-2c21-4c06-9bc4-847ca1a580e8" targetNamespace="http://schemas.microsoft.com/office/2006/metadata/properties" ma:root="true" ma:fieldsID="890c1b448830d7d96f4392ba8157065f" ns1:_="" ns2:_="" ns3:_="">
    <xsd:import namespace="http://schemas.microsoft.com/sharepoint/v3"/>
    <xsd:import namespace="8441a32c-6493-48fd-ab9c-771c1878cafe"/>
    <xsd:import namespace="d82d302b-2c21-4c06-9bc4-847ca1a580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1a32c-6493-48fd-ab9c-771c1878c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a62c2d-09df-4e68-912c-3f87823c841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Comment" ma:index="24" nillable="true" ma:displayName="Comment" ma:description="Use the Validation Report from here"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d302b-2c21-4c06-9bc4-847ca1a580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02436e-56fd-4c5f-af7c-ac22e7c1830e}" ma:internalName="TaxCatchAll" ma:showField="CatchAllData" ma:web="d82d302b-2c21-4c06-9bc4-847ca1a58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CC91B2-BF86-4DC3-9125-11972FEA904D}">
  <ds:schemaRefs>
    <ds:schemaRef ds:uri="http://schemas.microsoft.com/office/2006/metadata/properties"/>
    <ds:schemaRef ds:uri="http://schemas.microsoft.com/office/infopath/2007/PartnerControls"/>
    <ds:schemaRef ds:uri="http://schemas.microsoft.com/sharepoint/v3"/>
    <ds:schemaRef ds:uri="8441a32c-6493-48fd-ab9c-771c1878cafe"/>
    <ds:schemaRef ds:uri="d82d302b-2c21-4c06-9bc4-847ca1a580e8"/>
  </ds:schemaRefs>
</ds:datastoreItem>
</file>

<file path=customXml/itemProps2.xml><?xml version="1.0" encoding="utf-8"?>
<ds:datastoreItem xmlns:ds="http://schemas.openxmlformats.org/officeDocument/2006/customXml" ds:itemID="{26532C44-9D0B-4469-8A1D-FECE0EB84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41a32c-6493-48fd-ab9c-771c1878cafe"/>
    <ds:schemaRef ds:uri="d82d302b-2c21-4c06-9bc4-847ca1a58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0D9AD-F89F-40F0-A5A3-1741D07C35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Kathryn</dc:creator>
  <cp:keywords/>
  <dc:description/>
  <cp:lastModifiedBy>Lim, Elaine</cp:lastModifiedBy>
  <cp:revision>3</cp:revision>
  <dcterms:created xsi:type="dcterms:W3CDTF">2024-11-04T15:39:00Z</dcterms:created>
  <dcterms:modified xsi:type="dcterms:W3CDTF">2024-11-06T12:33:00Z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6c76e,7a279f60,60f673b2</vt:lpwstr>
  </property>
  <property fmtid="{D5CDD505-2E9C-101B-9397-08002B2CF9AE}" pid="3" name="ClassificationContentMarkingFooterFontProps">
    <vt:lpwstr>#000000,10,Calibri</vt:lpwstr>
  </property>
  <property fmtid="{D5CDD505-2E9C-101B-9397-08002B2CF9AE}" pid="4" name="ClassificationContentMarkingFooterText">
    <vt:lpwstr>Classification: Confidential</vt:lpwstr>
  </property>
  <property fmtid="{D5CDD505-2E9C-101B-9397-08002B2CF9AE}" pid="5" name="ContentTypeId">
    <vt:lpwstr>0x010100361B37B7A827F048B648F997DC5DDE02</vt:lpwstr>
  </property>
  <property fmtid="{D5CDD505-2E9C-101B-9397-08002B2CF9AE}" pid="6" name="MSIP_Label_d9d4eac9-bab1-4863-b7e6-52e5c519cf63_Enabled">
    <vt:lpwstr>true</vt:lpwstr>
  </property>
  <property fmtid="{D5CDD505-2E9C-101B-9397-08002B2CF9AE}" pid="7" name="MSIP_Label_d9d4eac9-bab1-4863-b7e6-52e5c519cf63_SetDate">
    <vt:lpwstr>2024-11-04T15:38:55Z</vt:lpwstr>
  </property>
  <property fmtid="{D5CDD505-2E9C-101B-9397-08002B2CF9AE}" pid="8" name="MSIP_Label_d9d4eac9-bab1-4863-b7e6-52e5c519cf63_Method">
    <vt:lpwstr>Privileged</vt:lpwstr>
  </property>
  <property fmtid="{D5CDD505-2E9C-101B-9397-08002B2CF9AE}" pid="9" name="MSIP_Label_d9d4eac9-bab1-4863-b7e6-52e5c519cf63_Name">
    <vt:lpwstr>d9d4eac9-bab1-4863-b7e6-52e5c519cf63</vt:lpwstr>
  </property>
  <property fmtid="{D5CDD505-2E9C-101B-9397-08002B2CF9AE}" pid="10" name="MSIP_Label_d9d4eac9-bab1-4863-b7e6-52e5c519cf63_SiteId">
    <vt:lpwstr>8df4b91e-bf72-411d-9902-5ecc8f1e6c11</vt:lpwstr>
  </property>
  <property fmtid="{D5CDD505-2E9C-101B-9397-08002B2CF9AE}" pid="11" name="MSIP_Label_d9d4eac9-bab1-4863-b7e6-52e5c519cf63_ActionId">
    <vt:lpwstr>cc24dabe-4d7c-49dc-9db5-26299bba8188</vt:lpwstr>
  </property>
  <property fmtid="{D5CDD505-2E9C-101B-9397-08002B2CF9AE}" pid="12" name="MSIP_Label_d9d4eac9-bab1-4863-b7e6-52e5c519cf63_ContentBits">
    <vt:lpwstr>2</vt:lpwstr>
  </property>
</Properties>
</file>